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9E2F" w14:textId="77777777" w:rsidR="009E065D" w:rsidRPr="0040412B" w:rsidRDefault="009E065D" w:rsidP="009E065D">
      <w:pPr>
        <w:rPr>
          <w:b/>
          <w:bCs/>
          <w:sz w:val="40"/>
          <w:szCs w:val="40"/>
          <w:lang w:val="en-US"/>
        </w:rPr>
      </w:pPr>
      <w:r w:rsidRPr="007C06BF">
        <w:rPr>
          <w:b/>
          <w:bCs/>
          <w:sz w:val="40"/>
          <w:szCs w:val="40"/>
          <w:lang w:val="en-US"/>
        </w:rPr>
        <w:t>The proposed</w:t>
      </w:r>
      <w:r w:rsidRPr="0040412B">
        <w:rPr>
          <w:sz w:val="40"/>
          <w:szCs w:val="40"/>
          <w:lang w:val="en-US"/>
        </w:rPr>
        <w:t xml:space="preserve"> </w:t>
      </w:r>
      <w:r w:rsidRPr="0040412B">
        <w:rPr>
          <w:b/>
          <w:bCs/>
          <w:sz w:val="40"/>
          <w:szCs w:val="40"/>
          <w:lang w:val="en-US"/>
        </w:rPr>
        <w:t xml:space="preserve">MCLS (Aust) Pty Ltd and the CFMEU Enterprise Agreement (Tas) 2024.  </w:t>
      </w:r>
    </w:p>
    <w:p w14:paraId="15334D75" w14:textId="77777777" w:rsidR="009E065D" w:rsidRPr="009E065D" w:rsidRDefault="009E065D" w:rsidP="009E065D"/>
    <w:p w14:paraId="66AF5776" w14:textId="75E16AB3" w:rsidR="00BD53DA" w:rsidRDefault="009E065D" w:rsidP="009E065D">
      <w:r w:rsidRPr="009E065D">
        <w:t>This document helps to explain terms of the Agreement. It does not form part of the Agreement. If employees have any questions about the Agreement, they should contact their CFMEU delegate or organiser.</w:t>
      </w:r>
    </w:p>
    <w:p w14:paraId="26D5610E" w14:textId="77777777" w:rsidR="006138AE" w:rsidRDefault="006138AE" w:rsidP="006138AE">
      <w:r>
        <w:t xml:space="preserve">Features of the agreement are that it builds upon the terms and conditions of the current Enterprise Agreement MCLS (Aust) and CFMEU Enterprise Agreement (Tas) 2021. </w:t>
      </w:r>
    </w:p>
    <w:p w14:paraId="62F9231C" w14:textId="77777777" w:rsidR="006138AE" w:rsidRDefault="006138AE" w:rsidP="006138AE">
      <w:r>
        <w:t>The proposed agreement includes pay increases for all employees whose employment is covered by the same terms and conditions of the current agreement.</w:t>
      </w:r>
    </w:p>
    <w:p w14:paraId="0AC4DEE3" w14:textId="77777777" w:rsidR="006138AE" w:rsidRDefault="006138AE" w:rsidP="006138AE">
      <w:r>
        <w:t>Other features of the agreement are that it builds on and is designed to foster a consultative, productive and safe workplace to benefit all employees. For example, preservation of the 38 ordinary hours of work, retention of RDOs for the agreement and specific procedures in place for dealing with safety issues and incidents consistent with WHS laws in Tasmania.  The proposed agreement expands consultation processes and includes more detail on fatigue management.</w:t>
      </w:r>
    </w:p>
    <w:p w14:paraId="54DF8560" w14:textId="77777777" w:rsidR="006138AE" w:rsidRDefault="006138AE" w:rsidP="006138AE">
      <w:r w:rsidRPr="006138AE">
        <w:rPr>
          <w:b/>
          <w:bCs/>
        </w:rPr>
        <w:t>Parties are</w:t>
      </w:r>
      <w:r>
        <w:t>:</w:t>
      </w:r>
      <w:r>
        <w:t xml:space="preserve"> </w:t>
      </w:r>
    </w:p>
    <w:p w14:paraId="5AD9C08E" w14:textId="27FDF653" w:rsidR="006138AE" w:rsidRDefault="006138AE" w:rsidP="006138AE">
      <w:r>
        <w:t xml:space="preserve">MCLS (Aust) Pty Ltd ABN: 33169551571 and the employees of the company engaged in construction work in a classification contained in Schedule 1 of the agreement, the CFMEU will also be covered by the agreement. The agreement applies to all Tasmanian based employees engaged in construction work in a classification in Schedule 1. The coverage is the same as the current agreement.  </w:t>
      </w:r>
    </w:p>
    <w:p w14:paraId="6106AE69" w14:textId="77777777" w:rsidR="006138AE" w:rsidRDefault="006138AE" w:rsidP="006138AE">
      <w:r>
        <w:t xml:space="preserve">The agreement will not apply to: </w:t>
      </w:r>
    </w:p>
    <w:p w14:paraId="585DEC0D" w14:textId="77777777" w:rsidR="006138AE" w:rsidRDefault="006138AE" w:rsidP="006138AE">
      <w:r>
        <w:t>•</w:t>
      </w:r>
      <w:r>
        <w:tab/>
        <w:t>Projects outside of a 50km radius of the Hobart CBD, or</w:t>
      </w:r>
    </w:p>
    <w:p w14:paraId="26359CDF" w14:textId="77777777" w:rsidR="006138AE" w:rsidRDefault="006138AE" w:rsidP="006138AE">
      <w:r>
        <w:t>•</w:t>
      </w:r>
      <w:r>
        <w:tab/>
        <w:t>Civil construction projects outside of a 50km radius of the Hobart CBD, and</w:t>
      </w:r>
    </w:p>
    <w:p w14:paraId="71CFCAEF" w14:textId="77777777" w:rsidR="006138AE" w:rsidRDefault="006138AE" w:rsidP="006138AE">
      <w:r>
        <w:t>•</w:t>
      </w:r>
      <w:r>
        <w:tab/>
        <w:t>Employees engaged under staff contracts who are not covered by the award, and</w:t>
      </w:r>
    </w:p>
    <w:p w14:paraId="4BA92E4E" w14:textId="77777777" w:rsidR="006138AE" w:rsidRDefault="006138AE" w:rsidP="006138AE">
      <w:r>
        <w:t>•</w:t>
      </w:r>
      <w:r>
        <w:tab/>
        <w:t>Employees working on projects who are covered by a separate project specific enterprise agreement, and</w:t>
      </w:r>
    </w:p>
    <w:p w14:paraId="34624D5D" w14:textId="77777777" w:rsidR="006138AE" w:rsidRDefault="006138AE" w:rsidP="006138AE">
      <w:r>
        <w:t>•</w:t>
      </w:r>
      <w:r>
        <w:tab/>
        <w:t xml:space="preserve">Construction work in the cottage/residential industry shall not fall within the scope of the agreement, meaning of a single occupancy dwelling and multiple occupancy residential units not being more than two living levels in height. </w:t>
      </w:r>
    </w:p>
    <w:p w14:paraId="487E1525" w14:textId="77777777" w:rsidR="006138AE" w:rsidRDefault="006138AE" w:rsidP="006138AE">
      <w:pPr>
        <w:rPr>
          <w:b/>
          <w:bCs/>
        </w:rPr>
      </w:pPr>
      <w:r w:rsidRPr="006138AE">
        <w:rPr>
          <w:b/>
          <w:bCs/>
        </w:rPr>
        <w:t>Relationship to Award</w:t>
      </w:r>
    </w:p>
    <w:p w14:paraId="1355F5F7" w14:textId="5E143690" w:rsidR="006138AE" w:rsidRDefault="006138AE" w:rsidP="006138AE">
      <w:r>
        <w:t xml:space="preserve"> The Building and Construction General On-Site Award 2020 [MA000020] as varied from time to time shall be incorporated into the Agreement and read in conjunction with the Agreement. The National Employment Standards (NES) are also read in conjunction with the agreement and apply to all employees as a minimum standard. Where there is an inconsistency between the NES and a clause of the agreement, the NES will apply and the clause of the agreement will not </w:t>
      </w:r>
      <w:r>
        <w:lastRenderedPageBreak/>
        <w:t>apply, except to the extent that the clause of the agreement provides for a more beneficial outcome for employees than the NES.</w:t>
      </w:r>
    </w:p>
    <w:p w14:paraId="246B35E3" w14:textId="77777777" w:rsidR="006138AE" w:rsidRDefault="006138AE" w:rsidP="006138AE">
      <w:r w:rsidRPr="006138AE">
        <w:rPr>
          <w:b/>
          <w:bCs/>
        </w:rPr>
        <w:t>Commencement</w:t>
      </w:r>
    </w:p>
    <w:p w14:paraId="1553B567" w14:textId="61E4DFD1" w:rsidR="006138AE" w:rsidRDefault="006138AE" w:rsidP="006138AE">
      <w:r>
        <w:t xml:space="preserve"> The proposed agreement will commence operation 7 days after it is approved by the Fair Work Commission (FWC) and will have an expiry date of 1 July 2027. The agreement will continue to operate after the nominal expiry date unless it’s terminated or replaced in accordance with the Fair Work Act</w:t>
      </w:r>
    </w:p>
    <w:p w14:paraId="5C8CCE1A" w14:textId="77777777" w:rsidR="009E065D" w:rsidRPr="009E065D" w:rsidRDefault="009E065D" w:rsidP="009E065D"/>
    <w:p w14:paraId="20CBAB51" w14:textId="6D80B4C4" w:rsidR="009E065D" w:rsidRPr="009E065D" w:rsidRDefault="009E065D" w:rsidP="009E065D">
      <w:r w:rsidRPr="009E065D">
        <w:t xml:space="preserve"> </w:t>
      </w:r>
      <w:r w:rsidRPr="009E065D">
        <w:rPr>
          <w:b/>
          <w:bCs/>
        </w:rPr>
        <w:t xml:space="preserve">Wages </w:t>
      </w:r>
      <w:r>
        <w:t>Schedule 1</w:t>
      </w:r>
      <w:r w:rsidRPr="009E065D">
        <w:t xml:space="preserve"> provides that increases will occur as follows: </w:t>
      </w:r>
    </w:p>
    <w:p w14:paraId="4077FD2B" w14:textId="0705A1CC" w:rsidR="009E065D" w:rsidRPr="009E065D" w:rsidRDefault="009E065D" w:rsidP="009E065D">
      <w:pPr>
        <w:numPr>
          <w:ilvl w:val="0"/>
          <w:numId w:val="1"/>
        </w:numPr>
      </w:pPr>
      <w:r w:rsidRPr="009E065D">
        <w:t xml:space="preserve">From 1st Pay Period commencing on or after </w:t>
      </w:r>
      <w:r>
        <w:t>2 October 2024</w:t>
      </w:r>
    </w:p>
    <w:p w14:paraId="5638440B" w14:textId="168CB6C5" w:rsidR="009E065D" w:rsidRPr="009E065D" w:rsidRDefault="009E065D" w:rsidP="009E065D">
      <w:pPr>
        <w:numPr>
          <w:ilvl w:val="0"/>
          <w:numId w:val="1"/>
        </w:numPr>
      </w:pPr>
      <w:r w:rsidRPr="009E065D">
        <w:t xml:space="preserve">From 1st Pay Period commencing on or after </w:t>
      </w:r>
      <w:r>
        <w:t>2 July 2025</w:t>
      </w:r>
    </w:p>
    <w:p w14:paraId="479749A4" w14:textId="7BA91D71" w:rsidR="009E065D" w:rsidRPr="009E065D" w:rsidRDefault="009E065D" w:rsidP="009E065D">
      <w:pPr>
        <w:numPr>
          <w:ilvl w:val="0"/>
          <w:numId w:val="1"/>
        </w:numPr>
      </w:pPr>
      <w:r w:rsidRPr="009E065D">
        <w:t xml:space="preserve">From 1st Pay Period commencing on or after </w:t>
      </w:r>
      <w:r>
        <w:t>01 July 2026</w:t>
      </w:r>
    </w:p>
    <w:p w14:paraId="11F0E4C9" w14:textId="3CDF8586" w:rsidR="009E065D" w:rsidRPr="009E065D" w:rsidRDefault="009E065D" w:rsidP="009E065D">
      <w:pPr>
        <w:numPr>
          <w:ilvl w:val="0"/>
          <w:numId w:val="1"/>
        </w:numPr>
      </w:pPr>
      <w:r w:rsidRPr="009E065D">
        <w:t xml:space="preserve">From 1st Pay Period commencing on or after </w:t>
      </w:r>
      <w:r>
        <w:t>03 February 2027</w:t>
      </w:r>
    </w:p>
    <w:p w14:paraId="61859C14" w14:textId="77777777" w:rsidR="009E065D" w:rsidRPr="009E065D" w:rsidRDefault="009E065D" w:rsidP="009E065D"/>
    <w:p w14:paraId="7029353F" w14:textId="27CA95D8" w:rsidR="009E065D" w:rsidRDefault="009E065D" w:rsidP="009E065D">
      <w:r w:rsidRPr="009E065D">
        <w:t xml:space="preserve">Employees who wish to check their own wage rate and increase should review their relevant classification under </w:t>
      </w:r>
      <w:r>
        <w:t>Schedule 1</w:t>
      </w:r>
      <w:r w:rsidRPr="009E065D">
        <w:t xml:space="preserve"> of the Agreement.</w:t>
      </w:r>
    </w:p>
    <w:p w14:paraId="2ADD5348" w14:textId="77777777" w:rsidR="00882656" w:rsidRDefault="00882656" w:rsidP="009E065D"/>
    <w:p w14:paraId="3924CCA1" w14:textId="77777777" w:rsidR="00882656" w:rsidRDefault="00882656" w:rsidP="00882656">
      <w:r w:rsidRPr="00882656">
        <w:rPr>
          <w:b/>
          <w:bCs/>
        </w:rPr>
        <w:t>Daily Fares and Travel Allowance</w:t>
      </w:r>
      <w:r>
        <w:t xml:space="preserve"> clause 43</w:t>
      </w:r>
    </w:p>
    <w:p w14:paraId="53CB0C23" w14:textId="77777777" w:rsidR="00882656" w:rsidRDefault="00882656" w:rsidP="00882656">
      <w:r>
        <w:t xml:space="preserve">Current </w:t>
      </w:r>
      <w:r>
        <w:tab/>
        <w:t>$41.00</w:t>
      </w:r>
    </w:p>
    <w:p w14:paraId="2F9D77C7" w14:textId="77777777" w:rsidR="00882656" w:rsidRDefault="00882656" w:rsidP="00882656">
      <w:r>
        <w:t xml:space="preserve">July 2024 </w:t>
      </w:r>
      <w:r>
        <w:tab/>
        <w:t>$42.00</w:t>
      </w:r>
    </w:p>
    <w:p w14:paraId="4708D7B2" w14:textId="77777777" w:rsidR="00882656" w:rsidRDefault="00882656" w:rsidP="00882656">
      <w:r>
        <w:t xml:space="preserve">July 2025 </w:t>
      </w:r>
      <w:r>
        <w:tab/>
        <w:t>$43.50</w:t>
      </w:r>
    </w:p>
    <w:p w14:paraId="193A5A87" w14:textId="3947AFAA" w:rsidR="00882656" w:rsidRDefault="00882656" w:rsidP="00882656">
      <w:r>
        <w:t xml:space="preserve">July 2026 </w:t>
      </w:r>
      <w:r>
        <w:tab/>
        <w:t>$45.00</w:t>
      </w:r>
    </w:p>
    <w:p w14:paraId="4C761106" w14:textId="77777777" w:rsidR="006138AE" w:rsidRDefault="006138AE" w:rsidP="006138AE">
      <w:r w:rsidRPr="006138AE">
        <w:rPr>
          <w:b/>
          <w:bCs/>
        </w:rPr>
        <w:t>H</w:t>
      </w:r>
      <w:r w:rsidRPr="006138AE">
        <w:rPr>
          <w:b/>
          <w:bCs/>
        </w:rPr>
        <w:t>ours of Work</w:t>
      </w:r>
      <w:r>
        <w:t xml:space="preserve"> Clause 33</w:t>
      </w:r>
    </w:p>
    <w:p w14:paraId="30FDCFAE" w14:textId="6877F93B" w:rsidR="006138AE" w:rsidRDefault="006138AE" w:rsidP="006138AE">
      <w:r>
        <w:t>The ordinary hours of work shall be 38 per week worked between 7.00 am to 6.00pm Monday to Friday.</w:t>
      </w:r>
    </w:p>
    <w:p w14:paraId="53913C98" w14:textId="77777777" w:rsidR="006138AE" w:rsidRDefault="006138AE" w:rsidP="006138AE">
      <w:r w:rsidRPr="006138AE">
        <w:rPr>
          <w:b/>
          <w:bCs/>
        </w:rPr>
        <w:t>Overtime</w:t>
      </w:r>
      <w:r>
        <w:t xml:space="preserve"> clause 35</w:t>
      </w:r>
    </w:p>
    <w:p w14:paraId="141509E0" w14:textId="6EE89475" w:rsidR="006138AE" w:rsidRDefault="006138AE" w:rsidP="006138AE">
      <w:r>
        <w:t>O</w:t>
      </w:r>
      <w:r>
        <w:t>vertime time shall be paid at time and a half for first 2 hours and double time thereafter, an employee required to work 1.5 hours or more after working ordinary hours must be paid an overtime meal allowance of $31.98.</w:t>
      </w:r>
    </w:p>
    <w:p w14:paraId="25A4ADE7" w14:textId="77777777" w:rsidR="006138AE" w:rsidRDefault="006138AE" w:rsidP="006138AE">
      <w:r w:rsidRPr="006138AE">
        <w:rPr>
          <w:b/>
          <w:bCs/>
        </w:rPr>
        <w:t xml:space="preserve">Shiftwork </w:t>
      </w:r>
      <w:r w:rsidRPr="006138AE">
        <w:t xml:space="preserve">clause </w:t>
      </w:r>
      <w:r>
        <w:t>37</w:t>
      </w:r>
    </w:p>
    <w:p w14:paraId="06288AAE" w14:textId="399BB612" w:rsidR="006138AE" w:rsidRDefault="006138AE" w:rsidP="006138AE">
      <w:r>
        <w:t xml:space="preserve">The provisions of the Award shall apply. </w:t>
      </w:r>
    </w:p>
    <w:p w14:paraId="36190492" w14:textId="77777777" w:rsidR="006138AE" w:rsidRDefault="006138AE" w:rsidP="006138AE">
      <w:pPr>
        <w:rPr>
          <w:b/>
          <w:bCs/>
        </w:rPr>
      </w:pPr>
    </w:p>
    <w:p w14:paraId="0AFAAB2F" w14:textId="77777777" w:rsidR="006138AE" w:rsidRDefault="006138AE" w:rsidP="006138AE">
      <w:pPr>
        <w:rPr>
          <w:b/>
          <w:bCs/>
        </w:rPr>
      </w:pPr>
    </w:p>
    <w:p w14:paraId="22384B6A" w14:textId="77777777" w:rsidR="006138AE" w:rsidRDefault="006138AE" w:rsidP="006138AE">
      <w:pPr>
        <w:rPr>
          <w:b/>
          <w:bCs/>
        </w:rPr>
      </w:pPr>
    </w:p>
    <w:p w14:paraId="3DAC08B1" w14:textId="4D85D48F" w:rsidR="006138AE" w:rsidRDefault="006138AE" w:rsidP="006138AE">
      <w:r w:rsidRPr="006138AE">
        <w:rPr>
          <w:b/>
          <w:bCs/>
        </w:rPr>
        <w:lastRenderedPageBreak/>
        <w:t>Section 6</w:t>
      </w:r>
      <w:r>
        <w:t xml:space="preserve"> – Leave and Public Holidays</w:t>
      </w:r>
    </w:p>
    <w:p w14:paraId="6BC41B73" w14:textId="33E04461" w:rsidR="00882656" w:rsidRDefault="006138AE" w:rsidP="006138AE">
      <w:r>
        <w:t>This section deals with Annual leave, compassionate, domestic violence leave, Jury/Community Services, Parental Leave, Public holidays and working on public holidays, Personal leave, and Carers Leave.</w:t>
      </w:r>
    </w:p>
    <w:p w14:paraId="65127481" w14:textId="77777777" w:rsidR="009E065D" w:rsidRPr="009E065D" w:rsidRDefault="009E065D" w:rsidP="009E065D"/>
    <w:p w14:paraId="100C6237" w14:textId="3EA32DF2" w:rsidR="009E065D" w:rsidRPr="009E065D" w:rsidRDefault="009E065D" w:rsidP="009E065D">
      <w:r w:rsidRPr="009E065D">
        <w:rPr>
          <w:b/>
          <w:bCs/>
        </w:rPr>
        <w:t>Superannuation</w:t>
      </w:r>
      <w:r w:rsidRPr="009E065D">
        <w:t xml:space="preserve"> – clause </w:t>
      </w:r>
      <w:r w:rsidRPr="006138AE">
        <w:t>31</w:t>
      </w:r>
    </w:p>
    <w:p w14:paraId="46209A4B" w14:textId="0CF14AA7" w:rsidR="009E065D" w:rsidRDefault="009E065D" w:rsidP="009E065D">
      <w:r w:rsidRPr="009E065D">
        <w:t>Superannuation contributions will be based on a percentage of an employee’s ordinary time earnings (12% from 1 July 2025) in line with the Superannuation Guarantee Administration Act 1992 (</w:t>
      </w:r>
      <w:proofErr w:type="spellStart"/>
      <w:r w:rsidRPr="009E065D">
        <w:t>Cth</w:t>
      </w:r>
      <w:proofErr w:type="spellEnd"/>
      <w:r w:rsidRPr="009E065D">
        <w:t xml:space="preserve">). </w:t>
      </w:r>
    </w:p>
    <w:p w14:paraId="7ABE5D9A" w14:textId="77777777" w:rsidR="00882656" w:rsidRDefault="00882656" w:rsidP="009E065D"/>
    <w:p w14:paraId="6BD6AD38" w14:textId="39118433" w:rsidR="00882656" w:rsidRPr="00882656" w:rsidRDefault="00882656" w:rsidP="00882656">
      <w:r w:rsidRPr="00882656">
        <w:rPr>
          <w:b/>
          <w:bCs/>
        </w:rPr>
        <w:t xml:space="preserve">Redundancy </w:t>
      </w:r>
      <w:proofErr w:type="spellStart"/>
      <w:r w:rsidRPr="00882656">
        <w:rPr>
          <w:b/>
          <w:bCs/>
        </w:rPr>
        <w:t>Incolink</w:t>
      </w:r>
      <w:proofErr w:type="spellEnd"/>
      <w:r w:rsidRPr="00882656">
        <w:rPr>
          <w:b/>
          <w:bCs/>
        </w:rPr>
        <w:t xml:space="preserve"> – </w:t>
      </w:r>
      <w:r w:rsidRPr="006138AE">
        <w:t>Appendix F</w:t>
      </w:r>
      <w:r w:rsidRPr="00882656">
        <w:rPr>
          <w:b/>
          <w:bCs/>
        </w:rPr>
        <w:t xml:space="preserve"> </w:t>
      </w:r>
    </w:p>
    <w:p w14:paraId="10B81B41" w14:textId="2082D81F" w:rsidR="00C90915" w:rsidRDefault="00882656" w:rsidP="009E065D">
      <w:proofErr w:type="spellStart"/>
      <w:r w:rsidRPr="00882656">
        <w:t>Incolink</w:t>
      </w:r>
      <w:proofErr w:type="spellEnd"/>
      <w:r w:rsidRPr="00882656">
        <w:t xml:space="preserve"> Tasmania, Accident and illness cover, identical coverage terms, including weekly benefits, funeral costs and dental accident provisions.</w:t>
      </w:r>
    </w:p>
    <w:p w14:paraId="72382F61" w14:textId="56A0A916" w:rsidR="00882656" w:rsidRPr="009E065D" w:rsidRDefault="00882656" w:rsidP="009E065D">
      <w:r w:rsidRPr="00882656">
        <w:t>Income Protection, Journey and Accidents Insurance The insurance coverage and cost will increase as follows:</w:t>
      </w:r>
    </w:p>
    <w:tbl>
      <w:tblPr>
        <w:tblW w:w="87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2"/>
        <w:gridCol w:w="4774"/>
      </w:tblGrid>
      <w:tr w:rsidR="00882656" w:rsidRPr="00194E1B" w14:paraId="474A8E72" w14:textId="77777777" w:rsidTr="00882656">
        <w:trPr>
          <w:trHeight w:val="408"/>
        </w:trPr>
        <w:tc>
          <w:tcPr>
            <w:tcW w:w="3942" w:type="dxa"/>
          </w:tcPr>
          <w:p w14:paraId="4E1B8503" w14:textId="77777777" w:rsidR="00882656" w:rsidRPr="00882656" w:rsidRDefault="00882656" w:rsidP="00BE0875">
            <w:pPr>
              <w:pStyle w:val="TableParagraph"/>
              <w:spacing w:before="23" w:line="280" w:lineRule="auto"/>
              <w:ind w:left="453" w:right="366" w:hanging="4"/>
              <w:rPr>
                <w:rFonts w:asciiTheme="minorHAnsi" w:hAnsiTheme="minorHAnsi"/>
                <w:b/>
                <w:bCs/>
                <w:sz w:val="19"/>
              </w:rPr>
            </w:pPr>
            <w:r w:rsidRPr="00882656">
              <w:rPr>
                <w:rFonts w:asciiTheme="minorHAnsi" w:hAnsiTheme="minorHAnsi"/>
                <w:b/>
                <w:bCs/>
                <w:sz w:val="19"/>
              </w:rPr>
              <w:t>DATE</w:t>
            </w:r>
          </w:p>
        </w:tc>
        <w:tc>
          <w:tcPr>
            <w:tcW w:w="4774" w:type="dxa"/>
          </w:tcPr>
          <w:p w14:paraId="10CA988A" w14:textId="77777777" w:rsidR="00882656" w:rsidRPr="00882656" w:rsidRDefault="00882656" w:rsidP="00BE0875">
            <w:pPr>
              <w:pStyle w:val="TableParagraph"/>
              <w:spacing w:before="18"/>
              <w:ind w:right="1903"/>
              <w:jc w:val="right"/>
              <w:rPr>
                <w:rFonts w:asciiTheme="minorHAnsi" w:hAnsiTheme="minorHAnsi"/>
                <w:b/>
                <w:bCs/>
                <w:spacing w:val="-2"/>
                <w:sz w:val="19"/>
              </w:rPr>
            </w:pPr>
            <w:r w:rsidRPr="00882656">
              <w:rPr>
                <w:rFonts w:asciiTheme="minorHAnsi" w:hAnsiTheme="minorHAnsi"/>
                <w:b/>
                <w:bCs/>
                <w:spacing w:val="-2"/>
                <w:sz w:val="19"/>
              </w:rPr>
              <w:t>$ PER WEEK</w:t>
            </w:r>
          </w:p>
        </w:tc>
      </w:tr>
      <w:tr w:rsidR="00882656" w:rsidRPr="00194E1B" w14:paraId="39E30878" w14:textId="77777777" w:rsidTr="00882656">
        <w:trPr>
          <w:trHeight w:val="523"/>
        </w:trPr>
        <w:tc>
          <w:tcPr>
            <w:tcW w:w="3942" w:type="dxa"/>
          </w:tcPr>
          <w:p w14:paraId="1DEC2114" w14:textId="77777777" w:rsidR="00882656" w:rsidRPr="00882656" w:rsidRDefault="00882656" w:rsidP="00BE0875">
            <w:pPr>
              <w:pStyle w:val="TableParagraph"/>
              <w:spacing w:line="254" w:lineRule="exact"/>
              <w:ind w:left="453" w:right="366" w:firstLine="49"/>
              <w:rPr>
                <w:rFonts w:asciiTheme="minorHAnsi" w:hAnsiTheme="minorHAnsi"/>
                <w:sz w:val="19"/>
              </w:rPr>
            </w:pPr>
            <w:bookmarkStart w:id="0" w:name="_Hlk202867695"/>
            <w:r w:rsidRPr="00882656">
              <w:rPr>
                <w:rFonts w:asciiTheme="minorHAnsi" w:hAnsiTheme="minorHAnsi"/>
                <w:sz w:val="19"/>
              </w:rPr>
              <w:t>From the first pay period commencing after</w:t>
            </w:r>
            <w:r w:rsidRPr="00882656">
              <w:rPr>
                <w:rFonts w:asciiTheme="minorHAnsi" w:hAnsiTheme="minorHAnsi"/>
                <w:spacing w:val="-6"/>
                <w:sz w:val="19"/>
              </w:rPr>
              <w:t xml:space="preserve"> </w:t>
            </w:r>
            <w:r w:rsidRPr="00882656">
              <w:rPr>
                <w:rFonts w:asciiTheme="minorHAnsi" w:hAnsiTheme="minorHAnsi"/>
                <w:sz w:val="19"/>
              </w:rPr>
              <w:t>01</w:t>
            </w:r>
            <w:r w:rsidRPr="00882656">
              <w:rPr>
                <w:rFonts w:asciiTheme="minorHAnsi" w:hAnsiTheme="minorHAnsi"/>
                <w:spacing w:val="-6"/>
                <w:sz w:val="19"/>
              </w:rPr>
              <w:t xml:space="preserve"> </w:t>
            </w:r>
            <w:r w:rsidRPr="00882656">
              <w:rPr>
                <w:rFonts w:asciiTheme="minorHAnsi" w:hAnsiTheme="minorHAnsi"/>
                <w:sz w:val="19"/>
              </w:rPr>
              <w:t>July</w:t>
            </w:r>
            <w:r w:rsidRPr="00882656">
              <w:rPr>
                <w:rFonts w:asciiTheme="minorHAnsi" w:hAnsiTheme="minorHAnsi"/>
                <w:spacing w:val="-6"/>
                <w:sz w:val="19"/>
              </w:rPr>
              <w:t xml:space="preserve"> </w:t>
            </w:r>
            <w:r w:rsidRPr="00882656">
              <w:rPr>
                <w:rFonts w:asciiTheme="minorHAnsi" w:hAnsiTheme="minorHAnsi"/>
                <w:sz w:val="19"/>
              </w:rPr>
              <w:t>2025</w:t>
            </w:r>
          </w:p>
        </w:tc>
        <w:tc>
          <w:tcPr>
            <w:tcW w:w="4774" w:type="dxa"/>
          </w:tcPr>
          <w:p w14:paraId="06BDC95F" w14:textId="77777777" w:rsidR="00882656" w:rsidRPr="00882656" w:rsidRDefault="00882656" w:rsidP="00BE0875">
            <w:pPr>
              <w:pStyle w:val="TableParagraph"/>
              <w:spacing w:before="23"/>
              <w:ind w:right="1903"/>
              <w:jc w:val="right"/>
              <w:rPr>
                <w:rFonts w:asciiTheme="minorHAnsi" w:hAnsiTheme="minorHAnsi"/>
                <w:sz w:val="19"/>
              </w:rPr>
            </w:pPr>
            <w:r w:rsidRPr="00882656">
              <w:rPr>
                <w:rFonts w:asciiTheme="minorHAnsi" w:hAnsiTheme="minorHAnsi"/>
                <w:spacing w:val="-2"/>
                <w:sz w:val="19"/>
              </w:rPr>
              <w:t>$45.00</w:t>
            </w:r>
          </w:p>
        </w:tc>
      </w:tr>
      <w:tr w:rsidR="00882656" w:rsidRPr="00194E1B" w14:paraId="44AAD830" w14:textId="77777777" w:rsidTr="00882656">
        <w:trPr>
          <w:trHeight w:val="513"/>
        </w:trPr>
        <w:tc>
          <w:tcPr>
            <w:tcW w:w="3942" w:type="dxa"/>
          </w:tcPr>
          <w:p w14:paraId="55C8BDF5" w14:textId="77777777" w:rsidR="00882656" w:rsidRPr="00882656" w:rsidRDefault="00882656" w:rsidP="00BE0875">
            <w:pPr>
              <w:pStyle w:val="TableParagraph"/>
              <w:spacing w:before="23"/>
              <w:ind w:left="503"/>
              <w:rPr>
                <w:rFonts w:asciiTheme="minorHAnsi" w:hAnsiTheme="minorHAnsi"/>
                <w:sz w:val="19"/>
              </w:rPr>
            </w:pPr>
            <w:r w:rsidRPr="00882656">
              <w:rPr>
                <w:rFonts w:asciiTheme="minorHAnsi" w:hAnsiTheme="minorHAnsi"/>
                <w:sz w:val="19"/>
              </w:rPr>
              <w:t>From</w:t>
            </w:r>
            <w:r w:rsidRPr="00882656">
              <w:rPr>
                <w:rFonts w:asciiTheme="minorHAnsi" w:hAnsiTheme="minorHAnsi"/>
                <w:spacing w:val="1"/>
                <w:sz w:val="19"/>
              </w:rPr>
              <w:t xml:space="preserve"> </w:t>
            </w:r>
            <w:r w:rsidRPr="00882656">
              <w:rPr>
                <w:rFonts w:asciiTheme="minorHAnsi" w:hAnsiTheme="minorHAnsi"/>
                <w:sz w:val="19"/>
              </w:rPr>
              <w:t>the</w:t>
            </w:r>
            <w:r w:rsidRPr="00882656">
              <w:rPr>
                <w:rFonts w:asciiTheme="minorHAnsi" w:hAnsiTheme="minorHAnsi"/>
                <w:spacing w:val="-3"/>
                <w:sz w:val="19"/>
              </w:rPr>
              <w:t xml:space="preserve"> </w:t>
            </w:r>
            <w:r w:rsidRPr="00882656">
              <w:rPr>
                <w:rFonts w:asciiTheme="minorHAnsi" w:hAnsiTheme="minorHAnsi"/>
                <w:sz w:val="19"/>
              </w:rPr>
              <w:t>first</w:t>
            </w:r>
            <w:r w:rsidRPr="00882656">
              <w:rPr>
                <w:rFonts w:asciiTheme="minorHAnsi" w:hAnsiTheme="minorHAnsi"/>
                <w:spacing w:val="7"/>
                <w:sz w:val="19"/>
              </w:rPr>
              <w:t xml:space="preserve"> </w:t>
            </w:r>
            <w:r w:rsidRPr="00882656">
              <w:rPr>
                <w:rFonts w:asciiTheme="minorHAnsi" w:hAnsiTheme="minorHAnsi"/>
                <w:sz w:val="19"/>
              </w:rPr>
              <w:t>pay</w:t>
            </w:r>
            <w:r w:rsidRPr="00882656">
              <w:rPr>
                <w:rFonts w:asciiTheme="minorHAnsi" w:hAnsiTheme="minorHAnsi"/>
                <w:spacing w:val="1"/>
                <w:sz w:val="19"/>
              </w:rPr>
              <w:t xml:space="preserve"> </w:t>
            </w:r>
            <w:r w:rsidRPr="00882656">
              <w:rPr>
                <w:rFonts w:asciiTheme="minorHAnsi" w:hAnsiTheme="minorHAnsi"/>
                <w:spacing w:val="-2"/>
                <w:sz w:val="19"/>
              </w:rPr>
              <w:t>period</w:t>
            </w:r>
          </w:p>
          <w:p w14:paraId="112C3C18" w14:textId="77777777" w:rsidR="00882656" w:rsidRPr="00882656" w:rsidRDefault="00882656" w:rsidP="00BE0875">
            <w:pPr>
              <w:pStyle w:val="TableParagraph"/>
              <w:spacing w:before="36" w:line="216" w:lineRule="exact"/>
              <w:ind w:left="453"/>
              <w:rPr>
                <w:rFonts w:asciiTheme="minorHAnsi" w:hAnsiTheme="minorHAnsi"/>
                <w:sz w:val="19"/>
              </w:rPr>
            </w:pPr>
            <w:r w:rsidRPr="00882656">
              <w:rPr>
                <w:rFonts w:asciiTheme="minorHAnsi" w:hAnsiTheme="minorHAnsi"/>
                <w:sz w:val="19"/>
              </w:rPr>
              <w:t>commencing</w:t>
            </w:r>
            <w:r w:rsidRPr="00882656">
              <w:rPr>
                <w:rFonts w:asciiTheme="minorHAnsi" w:hAnsiTheme="minorHAnsi"/>
                <w:spacing w:val="13"/>
                <w:sz w:val="19"/>
              </w:rPr>
              <w:t xml:space="preserve"> </w:t>
            </w:r>
            <w:r w:rsidRPr="00882656">
              <w:rPr>
                <w:rFonts w:asciiTheme="minorHAnsi" w:hAnsiTheme="minorHAnsi"/>
                <w:sz w:val="19"/>
              </w:rPr>
              <w:t>after</w:t>
            </w:r>
            <w:r w:rsidRPr="00882656">
              <w:rPr>
                <w:rFonts w:asciiTheme="minorHAnsi" w:hAnsiTheme="minorHAnsi"/>
                <w:spacing w:val="-1"/>
                <w:sz w:val="19"/>
              </w:rPr>
              <w:t xml:space="preserve"> </w:t>
            </w:r>
            <w:r w:rsidRPr="00882656">
              <w:rPr>
                <w:rFonts w:asciiTheme="minorHAnsi" w:hAnsiTheme="minorHAnsi"/>
                <w:sz w:val="19"/>
              </w:rPr>
              <w:t>01</w:t>
            </w:r>
            <w:r w:rsidRPr="00882656">
              <w:rPr>
                <w:rFonts w:asciiTheme="minorHAnsi" w:hAnsiTheme="minorHAnsi"/>
                <w:spacing w:val="-6"/>
                <w:sz w:val="19"/>
              </w:rPr>
              <w:t xml:space="preserve"> </w:t>
            </w:r>
            <w:r w:rsidRPr="00882656">
              <w:rPr>
                <w:rFonts w:asciiTheme="minorHAnsi" w:hAnsiTheme="minorHAnsi"/>
                <w:sz w:val="19"/>
              </w:rPr>
              <w:t>July</w:t>
            </w:r>
            <w:r w:rsidRPr="00882656">
              <w:rPr>
                <w:rFonts w:asciiTheme="minorHAnsi" w:hAnsiTheme="minorHAnsi"/>
                <w:spacing w:val="3"/>
                <w:sz w:val="19"/>
              </w:rPr>
              <w:t xml:space="preserve"> </w:t>
            </w:r>
            <w:r w:rsidRPr="00882656">
              <w:rPr>
                <w:rFonts w:asciiTheme="minorHAnsi" w:hAnsiTheme="minorHAnsi"/>
                <w:spacing w:val="-4"/>
                <w:sz w:val="19"/>
              </w:rPr>
              <w:t>2026</w:t>
            </w:r>
          </w:p>
        </w:tc>
        <w:tc>
          <w:tcPr>
            <w:tcW w:w="4774" w:type="dxa"/>
          </w:tcPr>
          <w:p w14:paraId="690A2142" w14:textId="77777777" w:rsidR="00882656" w:rsidRPr="00882656" w:rsidRDefault="00882656" w:rsidP="00BE0875">
            <w:pPr>
              <w:pStyle w:val="TableParagraph"/>
              <w:spacing w:before="14"/>
              <w:ind w:right="1902"/>
              <w:jc w:val="right"/>
              <w:rPr>
                <w:rFonts w:asciiTheme="minorHAnsi" w:hAnsiTheme="minorHAnsi"/>
                <w:sz w:val="19"/>
              </w:rPr>
            </w:pPr>
            <w:r w:rsidRPr="00882656">
              <w:rPr>
                <w:rFonts w:asciiTheme="minorHAnsi" w:hAnsiTheme="minorHAnsi"/>
                <w:spacing w:val="-2"/>
                <w:sz w:val="19"/>
              </w:rPr>
              <w:t>$47.50</w:t>
            </w:r>
          </w:p>
        </w:tc>
      </w:tr>
      <w:tr w:rsidR="00882656" w14:paraId="61CAB2F9" w14:textId="77777777" w:rsidTr="00882656">
        <w:trPr>
          <w:trHeight w:val="773"/>
        </w:trPr>
        <w:tc>
          <w:tcPr>
            <w:tcW w:w="3942" w:type="dxa"/>
          </w:tcPr>
          <w:p w14:paraId="693482E6" w14:textId="77777777" w:rsidR="00882656" w:rsidRPr="00882656" w:rsidRDefault="00882656" w:rsidP="00BE0875">
            <w:pPr>
              <w:pStyle w:val="TableParagraph"/>
              <w:spacing w:before="23" w:line="280" w:lineRule="auto"/>
              <w:ind w:left="453" w:right="366" w:hanging="4"/>
              <w:rPr>
                <w:rFonts w:asciiTheme="minorHAnsi" w:hAnsiTheme="minorHAnsi"/>
                <w:sz w:val="19"/>
              </w:rPr>
            </w:pPr>
            <w:r w:rsidRPr="00882656">
              <w:rPr>
                <w:rFonts w:asciiTheme="minorHAnsi" w:hAnsiTheme="minorHAnsi"/>
                <w:sz w:val="19"/>
              </w:rPr>
              <w:t>From the first pay period commencing after</w:t>
            </w:r>
            <w:r w:rsidRPr="00882656">
              <w:rPr>
                <w:rFonts w:asciiTheme="minorHAnsi" w:hAnsiTheme="minorHAnsi"/>
                <w:spacing w:val="-12"/>
                <w:sz w:val="19"/>
              </w:rPr>
              <w:t xml:space="preserve"> </w:t>
            </w:r>
            <w:r w:rsidRPr="00882656">
              <w:rPr>
                <w:rFonts w:asciiTheme="minorHAnsi" w:hAnsiTheme="minorHAnsi"/>
                <w:sz w:val="19"/>
              </w:rPr>
              <w:t>01</w:t>
            </w:r>
            <w:r w:rsidRPr="00882656">
              <w:rPr>
                <w:rFonts w:asciiTheme="minorHAnsi" w:hAnsiTheme="minorHAnsi"/>
                <w:spacing w:val="-13"/>
                <w:sz w:val="19"/>
              </w:rPr>
              <w:t xml:space="preserve"> </w:t>
            </w:r>
            <w:r w:rsidRPr="00882656">
              <w:rPr>
                <w:rFonts w:asciiTheme="minorHAnsi" w:hAnsiTheme="minorHAnsi"/>
                <w:sz w:val="19"/>
              </w:rPr>
              <w:t>February</w:t>
            </w:r>
          </w:p>
          <w:p w14:paraId="1E8EAD1D" w14:textId="77777777" w:rsidR="00882656" w:rsidRPr="00882656" w:rsidRDefault="00882656" w:rsidP="00BE0875">
            <w:pPr>
              <w:pStyle w:val="TableParagraph"/>
              <w:spacing w:line="217" w:lineRule="exact"/>
              <w:ind w:left="451"/>
              <w:rPr>
                <w:rFonts w:asciiTheme="minorHAnsi" w:hAnsiTheme="minorHAnsi"/>
                <w:sz w:val="19"/>
              </w:rPr>
            </w:pPr>
            <w:r w:rsidRPr="00882656">
              <w:rPr>
                <w:rFonts w:asciiTheme="minorHAnsi" w:hAnsiTheme="minorHAnsi"/>
                <w:spacing w:val="-4"/>
                <w:sz w:val="19"/>
              </w:rPr>
              <w:t>2027</w:t>
            </w:r>
          </w:p>
        </w:tc>
        <w:tc>
          <w:tcPr>
            <w:tcW w:w="4774" w:type="dxa"/>
          </w:tcPr>
          <w:p w14:paraId="6293F92A" w14:textId="77777777" w:rsidR="00882656" w:rsidRPr="00882656" w:rsidRDefault="00882656" w:rsidP="00BE0875">
            <w:pPr>
              <w:pStyle w:val="TableParagraph"/>
              <w:spacing w:before="23"/>
              <w:ind w:right="1907"/>
              <w:jc w:val="right"/>
              <w:rPr>
                <w:rFonts w:asciiTheme="minorHAnsi" w:hAnsiTheme="minorHAnsi"/>
                <w:sz w:val="19"/>
              </w:rPr>
            </w:pPr>
            <w:r w:rsidRPr="00882656">
              <w:rPr>
                <w:rFonts w:asciiTheme="minorHAnsi" w:hAnsiTheme="minorHAnsi"/>
                <w:spacing w:val="-2"/>
                <w:sz w:val="19"/>
              </w:rPr>
              <w:t>$50.00</w:t>
            </w:r>
          </w:p>
        </w:tc>
      </w:tr>
      <w:bookmarkEnd w:id="0"/>
    </w:tbl>
    <w:p w14:paraId="29E03DA2" w14:textId="23113B38" w:rsidR="009E065D" w:rsidRDefault="009E065D" w:rsidP="009E065D">
      <w:pPr>
        <w:rPr>
          <w:lang w:val="en-US"/>
        </w:rPr>
      </w:pPr>
    </w:p>
    <w:p w14:paraId="3F1A4DA6" w14:textId="77777777" w:rsidR="006138AE" w:rsidRDefault="006138AE" w:rsidP="009E065D">
      <w:pPr>
        <w:rPr>
          <w:lang w:val="en-US"/>
        </w:rPr>
      </w:pPr>
      <w:r w:rsidRPr="006138AE">
        <w:rPr>
          <w:b/>
          <w:bCs/>
          <w:lang w:val="en-US"/>
        </w:rPr>
        <w:t>Major Infrastructure</w:t>
      </w:r>
      <w:r w:rsidRPr="006138AE">
        <w:rPr>
          <w:lang w:val="en-US"/>
        </w:rPr>
        <w:t xml:space="preserve"> clause 44</w:t>
      </w:r>
    </w:p>
    <w:p w14:paraId="4DEC96FC" w14:textId="40B34274" w:rsidR="006138AE" w:rsidRDefault="006138AE" w:rsidP="009E065D">
      <w:pPr>
        <w:rPr>
          <w:lang w:val="en-US"/>
        </w:rPr>
      </w:pPr>
      <w:r>
        <w:rPr>
          <w:lang w:val="en-US"/>
        </w:rPr>
        <w:t>T</w:t>
      </w:r>
      <w:r w:rsidRPr="006138AE">
        <w:rPr>
          <w:lang w:val="en-US"/>
        </w:rPr>
        <w:t>his means construction or civils works on projects over the total sum package of $100 Million. Projects that fall into this category will incur $5.00 per hour Site Allowance. This allowance is to be paid on top of all other allowances that may be applicable to employees under this agreement. This allowance is to be paid on RDOs when taken.  Examples of Major Infrastructure could include but not limited to; Stadiums, Hospitals, Airports, Civil works, Wind farms and renewable energy projects, Hydro projects, battery of the Nation, Project Marinus, Macquarie Point Precinct, Bridges and other construction developments including demolition</w:t>
      </w:r>
    </w:p>
    <w:p w14:paraId="4CA2D71D" w14:textId="77777777" w:rsidR="006138AE" w:rsidRDefault="006138AE" w:rsidP="006138AE">
      <w:pPr>
        <w:rPr>
          <w:lang w:val="en-US"/>
        </w:rPr>
      </w:pPr>
      <w:r w:rsidRPr="006138AE">
        <w:rPr>
          <w:b/>
          <w:bCs/>
          <w:lang w:val="en-US"/>
        </w:rPr>
        <w:t xml:space="preserve">Health and Safety </w:t>
      </w:r>
      <w:r w:rsidRPr="006138AE">
        <w:rPr>
          <w:lang w:val="en-US"/>
        </w:rPr>
        <w:t>Clause 47</w:t>
      </w:r>
    </w:p>
    <w:p w14:paraId="1748347D" w14:textId="1E2356AB" w:rsidR="006138AE" w:rsidRPr="006138AE" w:rsidRDefault="006138AE" w:rsidP="006138AE">
      <w:pPr>
        <w:rPr>
          <w:lang w:val="en-US"/>
        </w:rPr>
      </w:pPr>
      <w:r w:rsidRPr="006138AE">
        <w:rPr>
          <w:lang w:val="en-US"/>
        </w:rPr>
        <w:t xml:space="preserve">The proposed agreement expands on the consultation process and includes more detail on fatigue management. </w:t>
      </w:r>
    </w:p>
    <w:p w14:paraId="48125881" w14:textId="77777777" w:rsidR="006138AE" w:rsidRPr="006138AE" w:rsidRDefault="006138AE" w:rsidP="006138AE">
      <w:pPr>
        <w:rPr>
          <w:lang w:val="en-US"/>
        </w:rPr>
      </w:pPr>
      <w:r w:rsidRPr="006138AE">
        <w:rPr>
          <w:lang w:val="en-US"/>
        </w:rPr>
        <w:t xml:space="preserve">Employees of MCLS (Aust) Pty Ltd Tasmania will have access to the </w:t>
      </w:r>
    </w:p>
    <w:p w14:paraId="02DA3671" w14:textId="77777777" w:rsidR="006138AE" w:rsidRPr="006138AE" w:rsidRDefault="006138AE" w:rsidP="006138AE">
      <w:pPr>
        <w:rPr>
          <w:lang w:val="en-US"/>
        </w:rPr>
      </w:pPr>
      <w:r w:rsidRPr="006138AE">
        <w:rPr>
          <w:lang w:val="en-US"/>
        </w:rPr>
        <w:t>•</w:t>
      </w:r>
      <w:r w:rsidRPr="006138AE">
        <w:rPr>
          <w:lang w:val="en-US"/>
        </w:rPr>
        <w:tab/>
        <w:t xml:space="preserve">Current Enterprise Agreement </w:t>
      </w:r>
    </w:p>
    <w:p w14:paraId="08673DE8" w14:textId="77777777" w:rsidR="006138AE" w:rsidRPr="006138AE" w:rsidRDefault="006138AE" w:rsidP="006138AE">
      <w:pPr>
        <w:rPr>
          <w:lang w:val="en-US"/>
        </w:rPr>
      </w:pPr>
      <w:r w:rsidRPr="006138AE">
        <w:rPr>
          <w:lang w:val="en-US"/>
        </w:rPr>
        <w:t>•</w:t>
      </w:r>
      <w:r w:rsidRPr="006138AE">
        <w:rPr>
          <w:lang w:val="en-US"/>
        </w:rPr>
        <w:tab/>
        <w:t>Proposed Enterprise Agreement</w:t>
      </w:r>
    </w:p>
    <w:p w14:paraId="072ADC5A" w14:textId="7BBEB13D" w:rsidR="006138AE" w:rsidRDefault="006138AE" w:rsidP="006138AE">
      <w:pPr>
        <w:rPr>
          <w:lang w:val="en-US"/>
        </w:rPr>
      </w:pPr>
      <w:r w:rsidRPr="006138AE">
        <w:rPr>
          <w:lang w:val="en-US"/>
        </w:rPr>
        <w:lastRenderedPageBreak/>
        <w:t>•</w:t>
      </w:r>
      <w:r w:rsidRPr="006138AE">
        <w:rPr>
          <w:lang w:val="en-US"/>
        </w:rPr>
        <w:tab/>
        <w:t>Building and Construction General On-Site Award 2020 and links to any other documents referenced in the proposed agreement such as legislation including the Fair Work Act and Work health and Safety Act 2012(WHS Act), National Employment Standards (NES)</w:t>
      </w:r>
    </w:p>
    <w:p w14:paraId="2F6F64BF" w14:textId="2BE5CC29" w:rsidR="006138AE" w:rsidRPr="006138AE" w:rsidRDefault="006138AE" w:rsidP="006138AE">
      <w:pPr>
        <w:rPr>
          <w:lang w:val="en-US"/>
        </w:rPr>
      </w:pPr>
      <w:r w:rsidRPr="006138AE">
        <w:rPr>
          <w:b/>
          <w:bCs/>
          <w:lang w:val="en-US"/>
        </w:rPr>
        <w:t>Employment relationship, Contract of Employment</w:t>
      </w:r>
      <w:r w:rsidRPr="006138AE">
        <w:rPr>
          <w:lang w:val="en-US"/>
        </w:rPr>
        <w:t xml:space="preserve"> Clause 20</w:t>
      </w:r>
    </w:p>
    <w:p w14:paraId="01306BD5" w14:textId="5F78B459" w:rsidR="006138AE" w:rsidRDefault="006138AE" w:rsidP="006138AE">
      <w:pPr>
        <w:rPr>
          <w:lang w:val="en-US"/>
        </w:rPr>
      </w:pPr>
      <w:r w:rsidRPr="006138AE">
        <w:rPr>
          <w:lang w:val="en-US"/>
        </w:rPr>
        <w:t>No change to the current agreement, Daily Hire, Weekly Hire and Casual employment shall apply, and on each occasion, on each occasion a casual employee is required to attend work the employee shall be entitled to payment for a minimum of four hours work plus the relevant fares and travel allowance. A casual employee for working ordinary hours shall be paid 125% of the hourly rate prescribed in the agreement for the employees’ classification</w:t>
      </w:r>
    </w:p>
    <w:p w14:paraId="1D10A9C7" w14:textId="77777777" w:rsidR="006138AE" w:rsidRDefault="006138AE" w:rsidP="006138AE">
      <w:pPr>
        <w:rPr>
          <w:lang w:val="en-US"/>
        </w:rPr>
      </w:pPr>
    </w:p>
    <w:p w14:paraId="3EDB0064" w14:textId="77777777" w:rsidR="006138AE" w:rsidRPr="009E065D" w:rsidRDefault="006138AE" w:rsidP="009E065D">
      <w:pPr>
        <w:rPr>
          <w:lang w:val="en-US"/>
        </w:rPr>
      </w:pPr>
    </w:p>
    <w:sectPr w:rsidR="006138AE" w:rsidRPr="009E0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6B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246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5D"/>
    <w:rsid w:val="005033EB"/>
    <w:rsid w:val="00601914"/>
    <w:rsid w:val="006138AE"/>
    <w:rsid w:val="00882656"/>
    <w:rsid w:val="009E065D"/>
    <w:rsid w:val="00BD53DA"/>
    <w:rsid w:val="00C90915"/>
    <w:rsid w:val="00CC3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D54"/>
  <w15:chartTrackingRefBased/>
  <w15:docId w15:val="{C0A5A68A-6509-431F-98D9-568346F8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5D"/>
    <w:pPr>
      <w:spacing w:line="259" w:lineRule="auto"/>
    </w:pPr>
    <w:rPr>
      <w:sz w:val="22"/>
      <w:szCs w:val="22"/>
    </w:rPr>
  </w:style>
  <w:style w:type="paragraph" w:styleId="Heading1">
    <w:name w:val="heading 1"/>
    <w:basedOn w:val="Normal"/>
    <w:next w:val="Normal"/>
    <w:link w:val="Heading1Char"/>
    <w:uiPriority w:val="9"/>
    <w:qFormat/>
    <w:rsid w:val="009E0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5D"/>
    <w:rPr>
      <w:rFonts w:eastAsiaTheme="majorEastAsia" w:cstheme="majorBidi"/>
      <w:color w:val="272727" w:themeColor="text1" w:themeTint="D8"/>
    </w:rPr>
  </w:style>
  <w:style w:type="paragraph" w:styleId="Title">
    <w:name w:val="Title"/>
    <w:basedOn w:val="Normal"/>
    <w:next w:val="Normal"/>
    <w:link w:val="TitleChar"/>
    <w:uiPriority w:val="10"/>
    <w:qFormat/>
    <w:rsid w:val="009E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5D"/>
    <w:pPr>
      <w:spacing w:before="160"/>
      <w:jc w:val="center"/>
    </w:pPr>
    <w:rPr>
      <w:i/>
      <w:iCs/>
      <w:color w:val="404040" w:themeColor="text1" w:themeTint="BF"/>
    </w:rPr>
  </w:style>
  <w:style w:type="character" w:customStyle="1" w:styleId="QuoteChar">
    <w:name w:val="Quote Char"/>
    <w:basedOn w:val="DefaultParagraphFont"/>
    <w:link w:val="Quote"/>
    <w:uiPriority w:val="29"/>
    <w:rsid w:val="009E065D"/>
    <w:rPr>
      <w:i/>
      <w:iCs/>
      <w:color w:val="404040" w:themeColor="text1" w:themeTint="BF"/>
    </w:rPr>
  </w:style>
  <w:style w:type="paragraph" w:styleId="ListParagraph">
    <w:name w:val="List Paragraph"/>
    <w:basedOn w:val="Normal"/>
    <w:uiPriority w:val="34"/>
    <w:qFormat/>
    <w:rsid w:val="009E065D"/>
    <w:pPr>
      <w:ind w:left="720"/>
      <w:contextualSpacing/>
    </w:pPr>
  </w:style>
  <w:style w:type="character" w:styleId="IntenseEmphasis">
    <w:name w:val="Intense Emphasis"/>
    <w:basedOn w:val="DefaultParagraphFont"/>
    <w:uiPriority w:val="21"/>
    <w:qFormat/>
    <w:rsid w:val="009E065D"/>
    <w:rPr>
      <w:i/>
      <w:iCs/>
      <w:color w:val="0F4761" w:themeColor="accent1" w:themeShade="BF"/>
    </w:rPr>
  </w:style>
  <w:style w:type="paragraph" w:styleId="IntenseQuote">
    <w:name w:val="Intense Quote"/>
    <w:basedOn w:val="Normal"/>
    <w:next w:val="Normal"/>
    <w:link w:val="IntenseQuoteChar"/>
    <w:uiPriority w:val="30"/>
    <w:qFormat/>
    <w:rsid w:val="009E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65D"/>
    <w:rPr>
      <w:i/>
      <w:iCs/>
      <w:color w:val="0F4761" w:themeColor="accent1" w:themeShade="BF"/>
    </w:rPr>
  </w:style>
  <w:style w:type="character" w:styleId="IntenseReference">
    <w:name w:val="Intense Reference"/>
    <w:basedOn w:val="DefaultParagraphFont"/>
    <w:uiPriority w:val="32"/>
    <w:qFormat/>
    <w:rsid w:val="009E065D"/>
    <w:rPr>
      <w:b/>
      <w:bCs/>
      <w:smallCaps/>
      <w:color w:val="0F4761" w:themeColor="accent1" w:themeShade="BF"/>
      <w:spacing w:val="5"/>
    </w:rPr>
  </w:style>
  <w:style w:type="paragraph" w:customStyle="1" w:styleId="TableParagraph">
    <w:name w:val="Table Paragraph"/>
    <w:basedOn w:val="Normal"/>
    <w:uiPriority w:val="1"/>
    <w:qFormat/>
    <w:rsid w:val="00882656"/>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Sproul</dc:creator>
  <cp:keywords/>
  <dc:description/>
  <cp:lastModifiedBy>Samantha Sproul</cp:lastModifiedBy>
  <cp:revision>1</cp:revision>
  <dcterms:created xsi:type="dcterms:W3CDTF">2025-10-12T23:05:00Z</dcterms:created>
  <dcterms:modified xsi:type="dcterms:W3CDTF">2025-10-13T00:18:00Z</dcterms:modified>
</cp:coreProperties>
</file>